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1"/>
        <w:tblW w:w="0" w:type="auto"/>
        <w:jc w:val="center"/>
        <w:tblLook w:val="04A0" w:firstRow="1" w:lastRow="0" w:firstColumn="1" w:lastColumn="0" w:noHBand="0" w:noVBand="1"/>
      </w:tblPr>
      <w:tblGrid>
        <w:gridCol w:w="1255"/>
        <w:gridCol w:w="7807"/>
      </w:tblGrid>
      <w:tr w:rsidR="00372C6B" w:rsidTr="00A817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rsidR="00372C6B" w:rsidRDefault="00372C6B" w:rsidP="00E52F7C">
            <w:r w:rsidRPr="005345A5">
              <w:rPr>
                <w:rFonts w:ascii="Arial Narrow" w:hAnsi="Arial Narrow"/>
                <w:noProof/>
                <w:lang w:val="bg-BG"/>
              </w:rPr>
              <w:drawing>
                <wp:inline distT="0" distB="0" distL="0" distR="0" wp14:anchorId="57E881B4" wp14:editId="0DC4B15B">
                  <wp:extent cx="548009" cy="673100"/>
                  <wp:effectExtent l="0" t="0" r="4445" b="0"/>
                  <wp:docPr id="1"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rsidR="00372C6B" w:rsidRPr="00016507" w:rsidRDefault="00372C6B" w:rsidP="00E52F7C">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Община Русе</w:t>
            </w:r>
          </w:p>
        </w:tc>
      </w:tr>
      <w:tr w:rsidR="00372C6B" w:rsidRPr="00B7635C" w:rsidTr="00A817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372C6B" w:rsidRDefault="00372C6B" w:rsidP="00E52F7C"/>
        </w:tc>
        <w:tc>
          <w:tcPr>
            <w:tcW w:w="7807" w:type="dxa"/>
            <w:tcBorders>
              <w:left w:val="single" w:sz="4" w:space="0" w:color="auto"/>
            </w:tcBorders>
          </w:tcPr>
          <w:p w:rsidR="00372C6B" w:rsidRPr="00016507" w:rsidRDefault="00372C6B" w:rsidP="00E52F7C">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Адрес</w:t>
            </w:r>
            <w:r w:rsidRPr="00B7635C">
              <w:rPr>
                <w:rFonts w:ascii="Trebuchet MS" w:hAnsi="Trebuchet MS"/>
                <w:sz w:val="20"/>
                <w:lang w:val="ru-RU"/>
              </w:rPr>
              <w:t xml:space="preserve">: </w:t>
            </w:r>
            <w:r w:rsidRPr="00016507">
              <w:rPr>
                <w:rFonts w:ascii="Trebuchet MS" w:hAnsi="Trebuchet MS"/>
                <w:sz w:val="20"/>
                <w:lang w:val="bg-BG"/>
              </w:rPr>
              <w:t>пл. „Свобода“ 6</w:t>
            </w:r>
            <w:r w:rsidRPr="00B7635C">
              <w:rPr>
                <w:rFonts w:ascii="Trebuchet MS" w:hAnsi="Trebuchet MS"/>
                <w:sz w:val="20"/>
                <w:lang w:val="ru-RU"/>
              </w:rPr>
              <w:t xml:space="preserve">, </w:t>
            </w:r>
            <w:r w:rsidRPr="00016507">
              <w:rPr>
                <w:rFonts w:ascii="Trebuchet MS" w:hAnsi="Trebuchet MS"/>
                <w:sz w:val="20"/>
                <w:lang w:val="bg-BG"/>
              </w:rPr>
              <w:t>Русе 7000</w:t>
            </w:r>
            <w:r w:rsidRPr="00B7635C">
              <w:rPr>
                <w:rFonts w:ascii="Trebuchet MS" w:hAnsi="Trebuchet MS"/>
                <w:sz w:val="20"/>
                <w:lang w:val="ru-RU"/>
              </w:rPr>
              <w:t xml:space="preserve">, </w:t>
            </w:r>
            <w:r w:rsidRPr="00016507">
              <w:rPr>
                <w:rFonts w:ascii="Trebuchet MS" w:hAnsi="Trebuchet MS"/>
                <w:sz w:val="20"/>
                <w:lang w:val="bg-BG"/>
              </w:rPr>
              <w:t>България</w:t>
            </w:r>
          </w:p>
        </w:tc>
      </w:tr>
      <w:tr w:rsidR="00372C6B" w:rsidTr="00A817B7">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372C6B" w:rsidRPr="00B7635C" w:rsidRDefault="00372C6B" w:rsidP="00E52F7C">
            <w:pPr>
              <w:rPr>
                <w:lang w:val="ru-RU"/>
              </w:rPr>
            </w:pPr>
          </w:p>
        </w:tc>
        <w:tc>
          <w:tcPr>
            <w:tcW w:w="7807" w:type="dxa"/>
            <w:tcBorders>
              <w:left w:val="single" w:sz="4" w:space="0" w:color="auto"/>
            </w:tcBorders>
          </w:tcPr>
          <w:p w:rsidR="00372C6B" w:rsidRPr="00016507" w:rsidRDefault="00372C6B" w:rsidP="00E52F7C">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Тел</w:t>
            </w:r>
            <w:r w:rsidRPr="00016507">
              <w:rPr>
                <w:rFonts w:ascii="Trebuchet MS" w:hAnsi="Trebuchet MS"/>
                <w:sz w:val="20"/>
              </w:rPr>
              <w:t>:</w:t>
            </w:r>
            <w:r w:rsidRPr="00016507">
              <w:rPr>
                <w:rFonts w:ascii="Trebuchet MS" w:hAnsi="Trebuchet MS"/>
                <w:sz w:val="20"/>
                <w:lang w:val="en-US"/>
              </w:rPr>
              <w:t xml:space="preserve"> </w:t>
            </w:r>
            <w:r w:rsidRPr="00016507">
              <w:rPr>
                <w:rFonts w:ascii="Trebuchet MS" w:hAnsi="Trebuchet MS"/>
                <w:sz w:val="20"/>
              </w:rPr>
              <w:t>+359 82 881 802;</w:t>
            </w:r>
            <w:r w:rsidRPr="00016507">
              <w:rPr>
                <w:rFonts w:ascii="Trebuchet MS" w:hAnsi="Trebuchet MS"/>
                <w:sz w:val="20"/>
                <w:lang w:val="en-US"/>
              </w:rPr>
              <w:t xml:space="preserve"> </w:t>
            </w:r>
            <w:r w:rsidRPr="00016507">
              <w:rPr>
                <w:rFonts w:ascii="Trebuchet MS" w:hAnsi="Trebuchet MS"/>
                <w:sz w:val="20"/>
                <w:lang w:val="bg-BG"/>
              </w:rPr>
              <w:t>Факс</w:t>
            </w:r>
            <w:r w:rsidRPr="00016507">
              <w:rPr>
                <w:rFonts w:ascii="Trebuchet MS" w:hAnsi="Trebuchet MS"/>
                <w:sz w:val="20"/>
              </w:rPr>
              <w:t>: +359 82 834 413</w:t>
            </w:r>
          </w:p>
        </w:tc>
      </w:tr>
      <w:tr w:rsidR="00372C6B" w:rsidRPr="00B7635C" w:rsidTr="00A817B7">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rsidR="00372C6B" w:rsidRDefault="00372C6B" w:rsidP="00E52F7C"/>
        </w:tc>
        <w:tc>
          <w:tcPr>
            <w:tcW w:w="7807" w:type="dxa"/>
            <w:tcBorders>
              <w:left w:val="single" w:sz="4" w:space="0" w:color="auto"/>
              <w:bottom w:val="single" w:sz="4" w:space="0" w:color="auto"/>
            </w:tcBorders>
          </w:tcPr>
          <w:p w:rsidR="00372C6B" w:rsidRPr="00016507" w:rsidRDefault="00372C6B" w:rsidP="00E52F7C">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00016507">
              <w:rPr>
                <w:rFonts w:ascii="Trebuchet MS" w:hAnsi="Trebuchet MS"/>
                <w:sz w:val="20"/>
                <w:lang w:val="bg-BG"/>
              </w:rPr>
              <w:t>Електронна поща</w:t>
            </w:r>
            <w:r w:rsidRPr="00B7635C">
              <w:rPr>
                <w:rFonts w:ascii="Trebuchet MS" w:hAnsi="Trebuchet MS"/>
                <w:sz w:val="20"/>
                <w:lang w:val="ru-RU"/>
              </w:rPr>
              <w:t xml:space="preserve">: </w:t>
            </w:r>
            <w:r w:rsidRPr="00016507">
              <w:rPr>
                <w:rFonts w:ascii="Trebuchet MS" w:hAnsi="Trebuchet MS"/>
                <w:sz w:val="20"/>
                <w:lang w:val="en-US"/>
              </w:rPr>
              <w:t>mayor</w:t>
            </w:r>
            <w:r w:rsidRPr="00B7635C">
              <w:rPr>
                <w:rFonts w:ascii="Trebuchet MS" w:hAnsi="Trebuchet MS"/>
                <w:sz w:val="20"/>
                <w:lang w:val="ru-RU"/>
              </w:rPr>
              <w:t>@</w:t>
            </w:r>
            <w:r w:rsidRPr="00016507">
              <w:rPr>
                <w:rFonts w:ascii="Trebuchet MS" w:hAnsi="Trebuchet MS"/>
                <w:sz w:val="20"/>
                <w:lang w:val="en-US"/>
              </w:rPr>
              <w:t>ruse</w:t>
            </w:r>
            <w:r w:rsidRPr="00B7635C">
              <w:rPr>
                <w:rFonts w:ascii="Trebuchet MS" w:hAnsi="Trebuchet MS"/>
                <w:sz w:val="20"/>
                <w:lang w:val="ru-RU"/>
              </w:rPr>
              <w:t>-</w:t>
            </w:r>
            <w:r w:rsidRPr="00016507">
              <w:rPr>
                <w:rFonts w:ascii="Trebuchet MS" w:hAnsi="Trebuchet MS"/>
                <w:sz w:val="20"/>
                <w:lang w:val="en-US"/>
              </w:rPr>
              <w:t>bg</w:t>
            </w:r>
            <w:r w:rsidRPr="00B7635C">
              <w:rPr>
                <w:rFonts w:ascii="Trebuchet MS" w:hAnsi="Trebuchet MS"/>
                <w:sz w:val="20"/>
                <w:lang w:val="ru-RU"/>
              </w:rPr>
              <w:t>.</w:t>
            </w:r>
            <w:r w:rsidRPr="00016507">
              <w:rPr>
                <w:rFonts w:ascii="Trebuchet MS" w:hAnsi="Trebuchet MS"/>
                <w:sz w:val="20"/>
                <w:lang w:val="en-US"/>
              </w:rPr>
              <w:t>eu</w:t>
            </w:r>
          </w:p>
        </w:tc>
      </w:tr>
    </w:tbl>
    <w:p w:rsidR="00016507" w:rsidRDefault="00016507">
      <w:pPr>
        <w:rPr>
          <w:lang w:val="ru-RU"/>
        </w:rPr>
      </w:pPr>
    </w:p>
    <w:p w:rsidR="00CB2002" w:rsidRPr="00CB2002" w:rsidRDefault="00CB2002" w:rsidP="00CB2002">
      <w:pPr>
        <w:spacing w:after="160" w:line="259" w:lineRule="auto"/>
        <w:jc w:val="center"/>
        <w:rPr>
          <w:rFonts w:ascii="Trebuchet MS" w:eastAsia="Trebuchet MS" w:hAnsi="Trebuchet MS" w:cs="Trebuchet MS"/>
          <w:szCs w:val="24"/>
          <w:lang w:val="bg-BG" w:eastAsia="en-US"/>
        </w:rPr>
      </w:pPr>
      <w:r w:rsidRPr="00CB2002">
        <w:rPr>
          <w:rFonts w:ascii="Trebuchet MS" w:eastAsia="Trebuchet MS" w:hAnsi="Trebuchet MS" w:cs="Trebuchet MS"/>
          <w:sz w:val="22"/>
          <w:szCs w:val="22"/>
          <w:lang w:val="en-US" w:eastAsia="en-US"/>
        </w:rPr>
        <w:t xml:space="preserve">                                                                                                                                 </w:t>
      </w:r>
      <w:r w:rsidRPr="00CB2002">
        <w:rPr>
          <w:rFonts w:ascii="Trebuchet MS" w:eastAsia="Trebuchet MS" w:hAnsi="Trebuchet MS" w:cs="Trebuchet MS"/>
          <w:b/>
          <w:bCs/>
          <w:szCs w:val="24"/>
          <w:lang w:val="en-US" w:eastAsia="en-US"/>
        </w:rPr>
        <w:t>ПРОЕКТ!!!</w:t>
      </w:r>
    </w:p>
    <w:p w:rsidR="00CB2002" w:rsidRPr="00CB2002" w:rsidRDefault="00CB2002" w:rsidP="00CB2002">
      <w:pPr>
        <w:spacing w:after="160" w:line="259" w:lineRule="auto"/>
        <w:jc w:val="center"/>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w:t>
      </w:r>
    </w:p>
    <w:p w:rsidR="00CB2002" w:rsidRPr="00CB2002" w:rsidRDefault="00CB2002" w:rsidP="00CB2002">
      <w:pPr>
        <w:spacing w:after="160" w:line="259" w:lineRule="auto"/>
        <w:jc w:val="center"/>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ДОГОВОР ЗА ОБЩЕСТВЕНА ПОРЪЧКА ЗА ПРОЕКТИРАНЕ И СТРОИТЕЛСТВО</w:t>
      </w:r>
    </w:p>
    <w:p w:rsidR="00CB2002" w:rsidRPr="00CB2002" w:rsidRDefault="00CB2002" w:rsidP="00CB2002">
      <w:pPr>
        <w:spacing w:after="160" w:line="259" w:lineRule="auto"/>
        <w:jc w:val="center"/>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Днес, ………………..... 201.. г., в гр. Русе, между:</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и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CB2002" w:rsidRPr="00CB2002" w:rsidRDefault="00CB2002" w:rsidP="00CB2002">
      <w:pPr>
        <w:spacing w:after="120" w:line="276"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и на основание чл. 112 ЗОП, във връзка с проведената процедура за възлагане на обществена поръчка с предмет: „Проектиране и строителство на </w:t>
      </w:r>
      <w:r w:rsidRPr="00CB2002">
        <w:rPr>
          <w:rFonts w:ascii="Trebuchet MS" w:eastAsia="Trebuchet MS" w:hAnsi="Trebuchet MS" w:cs="Trebuchet MS"/>
          <w:szCs w:val="24"/>
          <w:lang w:val="bg-BG" w:eastAsia="en-US"/>
        </w:rPr>
        <w:t>обект</w:t>
      </w:r>
      <w:r w:rsidRPr="00CB2002">
        <w:rPr>
          <w:rFonts w:ascii="Trebuchet MS" w:eastAsia="Trebuchet MS" w:hAnsi="Trebuchet MS" w:cs="Trebuchet MS"/>
          <w:b/>
          <w:bCs/>
          <w:szCs w:val="24"/>
          <w:lang w:val="bg-BG" w:eastAsia="en-US"/>
        </w:rPr>
        <w:t xml:space="preserve"> „Рехабилитация на бул. „Липник“ от кръговото кръстовище при бул. „Цар Освободител“ до кръговото кръстовище при КАТ“ </w:t>
      </w:r>
      <w:r w:rsidRPr="00CB2002">
        <w:rPr>
          <w:rFonts w:ascii="Trebuchet MS" w:eastAsia="Trebuchet MS" w:hAnsi="Trebuchet MS" w:cs="Trebuchet MS"/>
          <w:szCs w:val="24"/>
          <w:lang w:val="en-US" w:eastAsia="en-US"/>
        </w:rPr>
        <w:t>по проект “</w:t>
      </w:r>
      <w:r w:rsidRPr="00CB2002">
        <w:rPr>
          <w:rFonts w:ascii="Trebuchet MS" w:eastAsia="Trebuchet MS" w:hAnsi="Trebuchet MS" w:cs="Trebuchet MS"/>
          <w:b/>
          <w:bCs/>
          <w:szCs w:val="24"/>
          <w:lang w:val="bg-BG" w:eastAsia="en-US"/>
        </w:rPr>
        <w:t>Добре развита транспортна система в Еврорегион Русе – Гюргево за по-добра свързаност с TEN-T мрежата”, изпълняван по Програма за трансгранично сътрудничество Интеррег V-A Румъния-България 2014-2020, финансирана от ЕС чрез ЕФРР, по договор за субсидия от ЕФРР № 98829 от 31.08.2018г.  между Управляващия орган на програмата и Община Русе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и Решение № - ...../..................... г. на ВЪЗЛОЖИТЕЛЯ за определяне на ИЗПЪЛНИТЕЛ, се сключи настоящият договор, с който страните по него се споразумяха за следното: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І. ПРЕДМЕТ НА ДОГОВОРА</w:t>
      </w:r>
    </w:p>
    <w:p w:rsidR="00CB2002" w:rsidRPr="00CB2002" w:rsidRDefault="00CB2002" w:rsidP="00CB2002">
      <w:pPr>
        <w:spacing w:after="120" w:line="276"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Чл. 1. (1)  ВЪЗЛОЖИТЕЛЯТ възлага, а ИЗПЪЛНИТЕЛЯ приема да изпълни „Проектиране и строителство на </w:t>
      </w:r>
      <w:r w:rsidRPr="00CB2002">
        <w:rPr>
          <w:rFonts w:ascii="Trebuchet MS" w:eastAsia="Trebuchet MS" w:hAnsi="Trebuchet MS" w:cs="Trebuchet MS"/>
          <w:szCs w:val="24"/>
          <w:lang w:val="bg-BG" w:eastAsia="en-US"/>
        </w:rPr>
        <w:t>обект</w:t>
      </w:r>
      <w:r w:rsidRPr="00CB2002">
        <w:rPr>
          <w:rFonts w:ascii="Trebuchet MS" w:eastAsia="Trebuchet MS" w:hAnsi="Trebuchet MS" w:cs="Trebuchet MS"/>
          <w:b/>
          <w:bCs/>
          <w:szCs w:val="24"/>
          <w:lang w:val="bg-BG" w:eastAsia="en-US"/>
        </w:rPr>
        <w:t xml:space="preserve"> „Рехабилитация на бул. „Липник“ от кръговото кръстовище при бул. „Цар Освободител“ до кръговото </w:t>
      </w:r>
      <w:r w:rsidRPr="00CB2002">
        <w:rPr>
          <w:rFonts w:ascii="Trebuchet MS" w:eastAsia="Trebuchet MS" w:hAnsi="Trebuchet MS" w:cs="Trebuchet MS"/>
          <w:b/>
          <w:bCs/>
          <w:szCs w:val="24"/>
          <w:lang w:val="bg-BG" w:eastAsia="en-US"/>
        </w:rPr>
        <w:lastRenderedPageBreak/>
        <w:t xml:space="preserve">кръстовище при КАТ“ </w:t>
      </w:r>
      <w:r w:rsidRPr="00CB2002">
        <w:rPr>
          <w:rFonts w:ascii="Trebuchet MS" w:eastAsia="Trebuchet MS" w:hAnsi="Trebuchet MS" w:cs="Trebuchet MS"/>
          <w:szCs w:val="24"/>
          <w:lang w:val="en-US" w:eastAsia="en-US"/>
        </w:rPr>
        <w:t xml:space="preserve">по проект </w:t>
      </w:r>
      <w:r w:rsidRPr="00CB2002">
        <w:rPr>
          <w:rFonts w:ascii="Trebuchet MS" w:eastAsia="Trebuchet MS" w:hAnsi="Trebuchet MS" w:cs="Trebuchet MS"/>
          <w:b/>
          <w:bCs/>
          <w:szCs w:val="24"/>
          <w:lang w:val="en-US" w:eastAsia="en-US"/>
        </w:rPr>
        <w:t>“</w:t>
      </w:r>
      <w:r w:rsidRPr="00CB2002">
        <w:rPr>
          <w:rFonts w:ascii="Trebuchet MS" w:eastAsia="Trebuchet MS" w:hAnsi="Trebuchet MS" w:cs="Trebuchet MS"/>
          <w:b/>
          <w:bCs/>
          <w:szCs w:val="24"/>
          <w:lang w:val="bg-BG" w:eastAsia="en-US"/>
        </w:rPr>
        <w:t>Добре развита транспортна система в Еврорегион Русе – Гюргево за по-добра свързаност с TEN-T мрежата”, изпълняван по Програма за трансгранично сътрудничество Интеррег V-A Румъния-България 2014-2020, финансирана от ЕС чрез ЕФРР.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Предметът на договора включва: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 Изготвяне на технически инвестиционен проект по одобрен идеен инвестиционен проект;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Извършване на строителни дейности на обекта съобразно техническия инвестиционен проект, издаденото разрешение за строеж и действащите нормативни изисквания;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Осъществяване на авторски надзор по време на строителството.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II. ЦЕНА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2. (1)  Общата стойност на договора е в размер на ..................... /цифром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в т.ч. и непредвидените разходи. Общото възнаграждение е образувано от следните суми: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обща цена цена за изработване на технически  проект - ………….. лв. (словом ………………………) без ДДС или …………….. лв. (словом: ………………….) с ДДС,</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цена за СМР - ……………. лв. (словом ………………………………) без ДДС или ……………….. лв. (словом …………………………..) с ДДС.</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-цена за авторски надзор - ………….. лв. (словом …………………….) без ДДС или ………… лв. (словом ……………………) с ДДС;</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 xml:space="preserve">(2)   Цената по ал. 1 не подлежи на промяна, освен в допустимите от законодателството случаи.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(4) Окончателната стойност на договора по настоящата поръчка се определя на база двустранно подписан протокол за приемане на изработените технически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ІІІ. НАЧИН НА ПЛАЩАНЕ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3. (1) ВЪЗЛОЖИТЕЛЯТ заплаща цената по чл. 2 на база на действително изпълнени дейности по договора, както следва: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приемо-предавателен протокол за предаден и одобрен технически инвестиционен проект,  протокол за приемане на извършени СМР,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Окончателно плащане - оставащите %-и от стойността на договора, платими в 30 дневен срок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и акт за заплащане на авторски надзор.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За плащанията се използват следните документи: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Фактура на стойност, съответстваща на стойността на аванса, съответно на изработения технически проект  и/или  равна на стойността на протокола за </w:t>
      </w:r>
      <w:r w:rsidRPr="00CB2002">
        <w:rPr>
          <w:rFonts w:ascii="Trebuchet MS" w:eastAsia="Trebuchet MS" w:hAnsi="Trebuchet MS" w:cs="Trebuchet MS"/>
          <w:szCs w:val="24"/>
          <w:lang w:val="en-US" w:eastAsia="en-US"/>
        </w:rPr>
        <w:lastRenderedPageBreak/>
        <w:t>приемане на извършени СМР, или на акта за авторски надзор, както и посочените по-горе документи, когато е приложимо.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Плащанията по чл. 3, ал. 1, се извършват с платежно нареждане по сметка на ИЗПЪЛНИТЕЛЯ, както следва: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Банка: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BIC: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IBAN: .................................. срещу издадена фактура от ИЗПЪЛНИТЕЛЯ.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Разходооправдателните документи следва да съдържат проектния код, наименованието на проекта и финансиращата програма.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ІV. СРОК ЗА ИЗПЪЛНЕНИЕ</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Чл. 4. (1) Общият срок за изпълнение на поръчката …………………………….. календарни дни  съгласно oфертата на ИЗПЪЛНИТЕЛЯ и е формиран както следва: .............................. календарни дни за изготвяне на техническия инвестиционен проект и ……………………………… календарни дни за извършване на предвидените СМР. Срокът за изготвяне на техническия инвестиционен проект тече от получаване от страна на Изпълнителя на изходните данни за проектиране и е до приемане на техническия проект, което се удостоверява с двустранно подписан приемо-предавателен протокол. </w:t>
      </w:r>
      <w:r w:rsidRPr="00CB2002">
        <w:rPr>
          <w:rFonts w:ascii="Trebuchet MS" w:eastAsia="Trebuchet MS" w:hAnsi="Trebuchet MS" w:cs="Trebuchet MS"/>
          <w:szCs w:val="24"/>
          <w:lang w:val="bg-BG" w:eastAsia="en-US"/>
        </w:rPr>
        <w:t xml:space="preserve">Срокът за изпълнение на предвидените строително-монтажни работи е ................. календарни дни,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w:t>
      </w:r>
      <w:r w:rsidRPr="00CB2002">
        <w:rPr>
          <w:rFonts w:ascii="Trebuchet MS" w:eastAsia="Trebuchet MS" w:hAnsi="Trebuchet MS" w:cs="Trebuchet MS"/>
          <w:szCs w:val="24"/>
          <w:lang w:val="en-US" w:eastAsia="en-US"/>
        </w:rPr>
        <w:t>и 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обр. 2 от Наредба 3/2003г.) до въвеждане на строежа в експлоатация.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ИЗПЪЛНИТЕЛЯТ следва да определи дата за откриване на строителната площадка в рамките на до един месец от предаването на одобрения от Главния архитект на Община Русе технически инвестиционен проект от ВЪЗЛОЖИТЕЛЯ на ИЗПЪЛНИТЕЛЯ.</w:t>
      </w:r>
      <w:r w:rsidRPr="00CB2002">
        <w:rPr>
          <w:rFonts w:ascii="Trebuchet MS" w:eastAsia="Trebuchet MS" w:hAnsi="Trebuchet MS" w:cs="Trebuchet MS"/>
          <w:szCs w:val="24"/>
          <w:lang w:val="bg-BG" w:eastAsia="en-US"/>
        </w:rPr>
        <w:t xml:space="preserve">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(3) Срокът за изпълнение на поръчката спира да тече за времето, необходимо за съгласуване и одобряване на изготвения технически проект. При спиране на </w:t>
      </w:r>
      <w:r w:rsidRPr="00CB2002">
        <w:rPr>
          <w:rFonts w:ascii="Trebuchet MS" w:eastAsia="Trebuchet MS" w:hAnsi="Trebuchet MS" w:cs="Trebuchet MS"/>
          <w:szCs w:val="24"/>
          <w:lang w:val="en-US" w:eastAsia="en-US"/>
        </w:rPr>
        <w:lastRenderedPageBreak/>
        <w:t>строителството поради обективни причини, вкл. лоши/неподходящи метеорологични условия, спиране на изпълнението на проекта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 Предметът на настоящия договор се счита окончателно изпълнен с въвеждането на обекта в експлоатация.</w:t>
      </w:r>
    </w:p>
    <w:p w:rsidR="00CB2002" w:rsidRPr="00CB2002" w:rsidRDefault="00CB2002" w:rsidP="00CB2002">
      <w:pPr>
        <w:spacing w:after="120" w:line="276"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(5) Дейностите, включени в предмета на договора и разплащанията следва да бъдат извършени в рамките на срока за изпълнение на проект  </w:t>
      </w:r>
      <w:r w:rsidRPr="00CB2002">
        <w:rPr>
          <w:rFonts w:ascii="Trebuchet MS" w:eastAsia="Trebuchet MS" w:hAnsi="Trebuchet MS" w:cs="Trebuchet MS"/>
          <w:b/>
          <w:bCs/>
          <w:szCs w:val="24"/>
          <w:lang w:val="en-US" w:eastAsia="en-US"/>
        </w:rPr>
        <w:t>“</w:t>
      </w:r>
      <w:r w:rsidRPr="00CB2002">
        <w:rPr>
          <w:rFonts w:ascii="Trebuchet MS" w:eastAsia="Trebuchet MS" w:hAnsi="Trebuchet MS" w:cs="Trebuchet MS"/>
          <w:b/>
          <w:bCs/>
          <w:szCs w:val="24"/>
          <w:lang w:val="bg-BG" w:eastAsia="en-US"/>
        </w:rPr>
        <w:t xml:space="preserve">Добре развита транспортна система в Еврорегион Русе – Гюргево за по-добра свързаност с TEN-T мрежата”, изпълняван по Програма за трансгранично сътрудничество Интеррег V-A Румъния-България 2014-2020". </w:t>
      </w:r>
      <w:r w:rsidRPr="00CB2002">
        <w:rPr>
          <w:rFonts w:ascii="Trebuchet MS" w:eastAsia="Trebuchet MS" w:hAnsi="Trebuchet MS" w:cs="Trebuchet MS"/>
          <w:szCs w:val="24"/>
          <w:lang w:val="bg-BG" w:eastAsia="en-US"/>
        </w:rPr>
        <w:t>Възложителят е длъжен да уведоми Изпълнителя при промяна на крайната дата за изпълнение на проекта.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V. ПРИЕМАНЕ НА РАБОТАТА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5. (1) ИЗПЪЛНИТЕЛЯТ е длъжен да изпълни предмета на поръчката и предаде строежа в срока по чл. 4 от настоящия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Приемането на работите се удостоверява с протокол за приемане на изготвения технически проект,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(3) Преди започване на процедурата по съгласуване на техническия инвестиционен проект с експлоатационните дружества и компетентни инстанции Изпълнителят предава първоначално на Възложителя разработения проект в 1 екземпляр на хартия. Същото се удостоверява с подписване на  приемо-предавателен протокол от страните за предаване на документацията;</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(4) Възложителят в срок от 10 календарни дни преглежда проекта на Изпълнителя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 изискванията на Програма за трансгранично сътрудничество Интеррег V-A Румъния-България 2014-2020 и договора за финансиране;</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(5) Ако Възложителя констатира пропуски, несъответствия и др. връща проекта на Изпълнителя с писмени указания да допълни, поправи или преработи за своя сметка проекта поради:</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а) Непълно, неточно в количествено и/или качествено отношение изпълнение</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lastRenderedPageBreak/>
        <w:t>б) Несъобразяване с изходните данни и/или с изискванията на Възложителя, посочени в договора и/или приложенията към него</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в) Неспазване на действащите нормативни актове и стандарти</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(6) След получаване на указанията Изпълнителят е длъжен да отстрани констатираните пропуски, несъответствия и др. Същото се удостоверява с подписване на  приемо - предавателен протокол от страните за изпълнената работа.</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(7) След окончателно приемане на проекта, Изпълнителят предава на Възложителя Изготвения инвестиционен технически проект във вид и обем, съгласно техническата спецификация, която е неразделна част от настоящия договор.</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 xml:space="preserve"> (8) При забележки от заинтересовани страни и/или  контролни инстанции и/или експлоатационни дружества и др., както и от консултант, извършващ оценка за съответствие на инвестиционния проект, Изпълнителят е длъжен в срок от 7 (седем) календарни дни да отрази забележките и да предаде проекта в обем описан по-горе.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(9)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VI. ПРАВА И ЗАДЪЛЖЕНИЯ НА ИЗПЪЛНИТЕЛЯ. ДОГОВОР ЗА ПОДИЗПЪЛНЕНИЕ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7.  (1) Проектирането включва изготвяне на инвестиционен проект във фаза технически проект , като съгласно нормите на чл. 15, ал. 2 от Наредба № 4 от 21.05.2001г.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При разработването на проекта следва да се имат предвид одобрената техническа спецификация, както и елементите на подземната инфраструктура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Строителството включва: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           временно строителство;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демонтажни работи;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доставка на необходимите материали и оборудване;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строително – монтажни работи;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изработване на изпълнителна и екзекутивна документации;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геодезическо заснемане на кадастрални данни на изградения обект и получаване на удостоверение по чл. 5</w:t>
      </w:r>
      <w:r w:rsidRPr="00CB2002">
        <w:rPr>
          <w:rFonts w:ascii="Trebuchet MS" w:eastAsia="Trebuchet MS" w:hAnsi="Trebuchet MS" w:cs="Trebuchet MS"/>
          <w:szCs w:val="24"/>
          <w:lang w:val="bg-BG" w:eastAsia="en-US"/>
        </w:rPr>
        <w:t>4а</w:t>
      </w:r>
      <w:r w:rsidRPr="00CB2002">
        <w:rPr>
          <w:rFonts w:ascii="Trebuchet MS" w:eastAsia="Trebuchet MS" w:hAnsi="Trebuchet MS" w:cs="Trebuchet MS"/>
          <w:szCs w:val="24"/>
          <w:lang w:val="en-US" w:eastAsia="en-US"/>
        </w:rPr>
        <w:t xml:space="preserve">, ал. </w:t>
      </w:r>
      <w:r w:rsidRPr="00CB2002">
        <w:rPr>
          <w:rFonts w:ascii="Trebuchet MS" w:eastAsia="Trebuchet MS" w:hAnsi="Trebuchet MS" w:cs="Trebuchet MS"/>
          <w:szCs w:val="24"/>
          <w:lang w:val="bg-BG" w:eastAsia="en-US"/>
        </w:rPr>
        <w:t>3</w:t>
      </w:r>
      <w:r w:rsidRPr="00CB2002">
        <w:rPr>
          <w:rFonts w:ascii="Trebuchet MS" w:eastAsia="Trebuchet MS" w:hAnsi="Trebuchet MS" w:cs="Trebuchet MS"/>
          <w:szCs w:val="24"/>
          <w:lang w:val="en-US" w:eastAsia="en-US"/>
        </w:rPr>
        <w:t xml:space="preserve"> от ЗКИР;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всички дейности по приемане на обекта с Протокол обр. 16, в т.ч. отстраняване на забележки на компетентните контролни органи и участници в държавната приемателна комисия до получаване на разрешение за ползване;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При изпълнение на поръчката ИЗПЪЛНИТЕЛЯТ се задължава:</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1. Да спазва клаузите на договора и всички нормативни изисквания във връзка с неговото  изпълнение. Изпълнителят носи отговорност пред Възложителя ако при изпълнението на договора е нарушил императивни разпоредби на нормативните актове;</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2. При предаване на инвестиционния технически проект на Възложителя, Изпълнителят се задължава да представи декларация, с която да удостовери, че няма различия между техническия и идеен проект, включително във вида и количествата на видовете работи по количествено-стойностните сметки. При наличие на различия между техническия и идейния проект, изпълнителят следва да представи на възложителя при предаване на инвестиционния проект или по искане на възложителя или на други контролни органи  подробна обосновка за характера и причините за извършените промени. Обосновката чрез сравнителен анализ трябва да преставя видовете промени, настъпили в следствие на разработване на проекта в техническа фаза, включително по количествено стойностните сметки;</w:t>
      </w:r>
    </w:p>
    <w:p w:rsidR="00CB2002" w:rsidRPr="00CB2002" w:rsidRDefault="00CB2002" w:rsidP="00CB2002">
      <w:pPr>
        <w:spacing w:after="160" w:line="259" w:lineRule="auto"/>
        <w:jc w:val="both"/>
        <w:rPr>
          <w:rFonts w:ascii="Trebuchet MS" w:eastAsia="Trebuchet MS" w:hAnsi="Trebuchet MS" w:cs="Trebuchet MS"/>
          <w:szCs w:val="24"/>
          <w:highlight w:val="green"/>
          <w:lang w:val="en-US" w:eastAsia="en-US"/>
        </w:rPr>
      </w:pPr>
      <w:r w:rsidRPr="00CB2002">
        <w:rPr>
          <w:rFonts w:ascii="Trebuchet MS" w:eastAsia="Trebuchet MS" w:hAnsi="Trebuchet MS" w:cs="Trebuchet MS"/>
          <w:szCs w:val="24"/>
          <w:lang w:val="en-US" w:eastAsia="en-US"/>
        </w:rPr>
        <w:t>3.Изпълнителят е длъжен да съдейства на Възложителя за съгласуване на инвестиционния проект с всички компетентни инстанции, експлоатационни дружества и държавни органи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4.      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w:t>
      </w:r>
      <w:r w:rsidRPr="00CB2002">
        <w:rPr>
          <w:rFonts w:ascii="Trebuchet MS" w:eastAsia="Trebuchet MS" w:hAnsi="Trebuchet MS" w:cs="Trebuchet MS"/>
          <w:szCs w:val="24"/>
          <w:lang w:val="en-US" w:eastAsia="en-US"/>
        </w:rPr>
        <w:lastRenderedPageBreak/>
        <w:t>безопасност и хигиена на труда, пожарна безопасност и др.; да спазва пълния технологичен ред при извършване на отделните видове работи;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при изпълнението на СМР да се спазва  „Техническа спецификация – 2014“ на Национална агенция „Пътна инфраструктура“.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6.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притежаващ аналогична професионална квалификация  и професионален опит на тези на заменения експерт и на поставените изисквания в настоящата обществена поръчка, както и да представи доказателства за това. Възложителят има право мотивирано да откаже замяната или да поиска  друг заменящ експерт.</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7.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техническия инвестиционен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r w:rsidRPr="00CB2002">
        <w:rPr>
          <w:rFonts w:ascii="Trebuchet MS" w:eastAsia="Trebuchet MS" w:hAnsi="Trebuchet MS" w:cs="Trebuchet MS"/>
          <w:szCs w:val="24"/>
          <w:lang w:val="bg-BG" w:eastAsia="en-US"/>
        </w:rPr>
        <w:t>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8.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9.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 изпълнителят е длъжен д</w:t>
      </w:r>
      <w:r w:rsidRPr="00CB2002">
        <w:rPr>
          <w:rFonts w:ascii="Trebuchet MS" w:eastAsia="Trebuchet MS" w:hAnsi="Trebuchet MS" w:cs="Trebuchet MS"/>
          <w:szCs w:val="24"/>
          <w:lang w:val="bg-BG" w:eastAsia="en-US"/>
        </w:rPr>
        <w:t xml:space="preserve">а коригира, респ. замени изцяло за своя сметка некачествено извършените работи и/или некачествените материали, като </w:t>
      </w:r>
      <w:r w:rsidRPr="00CB2002">
        <w:rPr>
          <w:rFonts w:ascii="Trebuchet MS" w:eastAsia="Trebuchet MS" w:hAnsi="Trebuchet MS" w:cs="Trebuchet MS"/>
          <w:szCs w:val="24"/>
          <w:lang w:val="bg-BG" w:eastAsia="en-US"/>
        </w:rPr>
        <w:lastRenderedPageBreak/>
        <w:t xml:space="preserve">гаранционните срокове са определени в чл.20, ал.4 от Наредба № 2/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10.      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267 от 05.12.2017 г., обн. ДВ бр. 98 от 08.12.2017 г.., включително да оказва пълно съдействие на ВЪЗЛОЖИТЕЛЯ при изпълнение на тази наредба, когато и където е приложимо;;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11.      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12.      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13.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 xml:space="preserve">14. 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 Всички 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Изпълнителят не успее, откаже или пренебрегне премахването на отпадъците, временните съоръжения или не почисти настилките или тротоарите, то Възложителят може, без това да го задължава, да отстрани и изхвърли тези </w:t>
      </w:r>
      <w:r w:rsidRPr="00CB2002">
        <w:rPr>
          <w:rFonts w:ascii="Trebuchet MS" w:eastAsia="Trebuchet MS" w:hAnsi="Trebuchet MS" w:cs="Trebuchet MS"/>
          <w:szCs w:val="24"/>
          <w:lang w:val="en-US" w:eastAsia="en-US"/>
        </w:rPr>
        <w:lastRenderedPageBreak/>
        <w:t xml:space="preserve">отпадъци и временни съоръжения, както и да почисти настилките и тротоарите. Направените във връзка с това разходи ще се приспаднат от дължимите плащания към изпълнителя и/или гаранцията за изпълнение.   </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15.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 xml:space="preserve">16. Да се снабди с всички видове разрешителни за навлизане на автотранспорт и механизация в зоната на обекта.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17.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18.    Да работи с технически правоспособни лица при изпълнението на задълженията си;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19.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20.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21.    Да информира ВЪЗЛОЖИТЕЛЯ за възникнали проблеми при изпълнение на предвидените в договора/проекта дейности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22.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23.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24.    Да отстрани незабавно, за негова сметка, всички нанесени повреди и щети на общинско имущество или имущество на трети лица при изпълнение на поръчката;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25.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26.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при или по повод изпълнение на СМР;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27.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28.    Да отстранява за своя сметка и своевременно констатираните от ВЪЗЛОЖИТЕЛЯ по време на изпълнението недостатъци по работата;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29.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30.    Да удължи срока на гаранцията за изпълнение при необходимост, с оглед спазване сроковете по настоящия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31.    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32.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33.    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34.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35.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36.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37.    Да съставя всички актове и протоколи съгласно Наредба № 3 от 2003 г. за съставяне на актове и протоколи по време на строителството;</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 xml:space="preserve">38. Да опазва геодезичните знаци/основи,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репаража и определяне на начина и срока за възстановяване на геодезическия знак.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39.    След завършване на строежа да направи геодезическо заснемане за нанасяне в кадастъра и издаване на удостоверение по чл. 5</w:t>
      </w:r>
      <w:r w:rsidRPr="00CB2002">
        <w:rPr>
          <w:rFonts w:ascii="Trebuchet MS" w:eastAsia="Trebuchet MS" w:hAnsi="Trebuchet MS" w:cs="Trebuchet MS"/>
          <w:szCs w:val="24"/>
          <w:lang w:val="bg-BG" w:eastAsia="en-US"/>
        </w:rPr>
        <w:t>4а, ал. 3</w:t>
      </w:r>
      <w:r w:rsidRPr="00CB2002">
        <w:rPr>
          <w:rFonts w:ascii="Trebuchet MS" w:eastAsia="Trebuchet MS" w:hAnsi="Trebuchet MS" w:cs="Trebuchet MS"/>
          <w:szCs w:val="24"/>
          <w:lang w:val="en-US" w:eastAsia="en-US"/>
        </w:rPr>
        <w:t xml:space="preserve"> от ЗКИР, когато е приложимо.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40.    ИЗПЪЛНИТЕЛЯТ следва да извърши всички необходими замервания, проби, изпитвания, тестове и други подобни на всички конструкции и инсталации, както и проби за уплътняване на обратния насип, на трошенокаменната настилка на пътната и тротоарните настилки и други измервания касаещи качеството и устойчивостта на земната основа и различните видове настилки за негова сметка.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41.    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CB2002" w:rsidRPr="00CB2002" w:rsidRDefault="00CB2002" w:rsidP="00CB2002">
      <w:pPr>
        <w:spacing w:after="160" w:line="259" w:lineRule="auto"/>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42. Да спазва изискванията за съхранение на документация за проекта в съответствие с правилата на програмата.</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43. 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 xml:space="preserve">44.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или от гаранцията за изпълнение на договора, заедно с начислената законна лихва.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lastRenderedPageBreak/>
        <w:t>*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45. ИЗПЪЛНИТЕЛЯТ се задължава да съхранява документацията и да оказва съдействие при извършване на проверките, описани в точка 43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 xml:space="preserve">46. ИЗПЪЛНИТЕЛЯТ се задължава, да спазва изискванията за изпълнение на мерките за информация и публичност по проекти, финансирани по </w:t>
      </w:r>
      <w:r w:rsidRPr="00CB2002">
        <w:rPr>
          <w:rFonts w:ascii="Trebuchet MS" w:eastAsia="Trebuchet MS" w:hAnsi="Trebuchet MS" w:cs="Trebuchet MS"/>
          <w:szCs w:val="24"/>
          <w:lang w:val="en-US" w:eastAsia="en-US"/>
        </w:rPr>
        <w:t xml:space="preserve">INTERREG V-A </w:t>
      </w:r>
      <w:r w:rsidRPr="00CB2002">
        <w:rPr>
          <w:rFonts w:ascii="Trebuchet MS" w:eastAsia="Trebuchet MS" w:hAnsi="Trebuchet MS" w:cs="Trebuchet MS"/>
          <w:szCs w:val="24"/>
          <w:lang w:val="bg-BG" w:eastAsia="en-US"/>
        </w:rPr>
        <w:t>Румъния –България.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bg-BG" w:eastAsia="en-US"/>
        </w:rPr>
        <w:t>47.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 За извършването на отделните строително-монтажни работи съгласно приетата организация за изпълнение на поръчката,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(8) По време на изпълнението на СМР ИЗПЪЛНИТЕЛЯТ е длъжен да осигури на свое разположение асфалтова база /мобилна или стационарна/, чрез която да се осигурява спазването на следното технологично изискване при доставката и полагането на асфалтови смеси, поставено в „Техническа спецификация  2014 г.”, одобрена от изпълнителния директор на АПИ: Доставянето на сместа трябва да се извършва с еднаква скорост и в количества, съобразени с капацитета на оборудването за асфалтополагане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При доставянето на сместа в асфалтополагащата машина, тя трябва да бъде в температурните граници ±140С от температурата на работната рецепта. Времето за транспортиране на сместа до обекта не трябва да бъде повече от 45 минути. Общото време за транспорт и полагане на асфалтовата смес не трябва да превишава 60 минути.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(9) ИЗПЪЛНИТЕЛЯТ се задължава да упражнява авторски надзор в следните случаи:</w:t>
      </w:r>
    </w:p>
    <w:p w:rsidR="00CB2002" w:rsidRPr="00CB2002" w:rsidRDefault="00CB2002" w:rsidP="00CB2002">
      <w:pPr>
        <w:numPr>
          <w:ilvl w:val="0"/>
          <w:numId w:val="3"/>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Във всички случаи, когато присъствието на проектант на обекта е наложително.</w:t>
      </w:r>
    </w:p>
    <w:p w:rsidR="00CB2002" w:rsidRPr="00CB2002" w:rsidRDefault="00CB2002" w:rsidP="00CB2002">
      <w:pPr>
        <w:numPr>
          <w:ilvl w:val="0"/>
          <w:numId w:val="3"/>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За участие в приемателна комисия на извършените строително - монтажни работи.</w:t>
      </w:r>
    </w:p>
    <w:p w:rsidR="00CB2002" w:rsidRPr="00CB2002" w:rsidRDefault="00CB2002" w:rsidP="00CB2002">
      <w:pPr>
        <w:numPr>
          <w:ilvl w:val="0"/>
          <w:numId w:val="3"/>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При писмено поискване от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(10) 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одобрения инвестиционен проект и изискванията по чл. 169, ал. 1 и 2 от ЗУТ;</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участва при съставянето на всички изискващи се актове и протоколи по време на строителството;</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lastRenderedPageBreak/>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не разрешава допускането на съществени отклонения от одобрения инвестиционен проект по време на строителството на строежа, а при необходимост да се спазва разпоредбата на чл. 154, ал. 5 от ЗУТ;</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при необходимост да изготви преработка на проекта по чл. 154 от ЗУТ;</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осигурява възможност на Възложителя да следи процеса на работа и да съгласува с него предварително всички решения и действия;</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извършва експертни дейности и консултации;</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при необходимост изготвя екзекутивната документация на строежа;</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участва в работата на приемателна комисия за въвеждане на обекта в експлоатация;</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 xml:space="preserve">оказва всестранна техническа помощ и консултации за решаване на проблеми, възникнали в процеса на изграждане на обекта; </w:t>
      </w:r>
    </w:p>
    <w:p w:rsidR="00CB2002" w:rsidRPr="00CB2002" w:rsidRDefault="00CB2002" w:rsidP="00CB2002">
      <w:pPr>
        <w:numPr>
          <w:ilvl w:val="0"/>
          <w:numId w:val="2"/>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дава предписания при обстоятелства, които водят до изменения на проекта, допустими по Закона за устройство на територията.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(11)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(12) 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(13)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Чл.8.(1)ИЗПЪЛНИТЕЛЯТ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ИЗПЪЛНИТЕЛЯТ се задължава да сключи договор/договори за подизпълнение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w:t>
      </w:r>
      <w:r w:rsidRPr="00CB2002">
        <w:rPr>
          <w:rFonts w:ascii="Trebuchet MS" w:eastAsia="Trebuchet MS" w:hAnsi="Trebuchet MS" w:cs="Trebuchet MS"/>
          <w:sz w:val="22"/>
          <w:szCs w:val="22"/>
          <w:lang w:val="en-US" w:eastAsia="en-US"/>
        </w:rPr>
        <w:t xml:space="preserve"> </w:t>
      </w:r>
      <w:r w:rsidRPr="00CB2002">
        <w:rPr>
          <w:rFonts w:ascii="Trebuchet MS" w:eastAsia="Trebuchet MS" w:hAnsi="Trebuchet MS" w:cs="Trebuchet MS"/>
          <w:szCs w:val="24"/>
          <w:lang w:val="en-US" w:eastAsia="en-US"/>
        </w:rPr>
        <w:t>Към искането по ал.4 ИЗПЪЛНИТЕЛЯТ предоставя становище, от което да е видно дали оспорва плащанията или част от тях като недължими.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(6) Възложителят има право да откаже плащане, когато искането за плащане е оспорено, до момента на отстраняване на причината за отказа.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(8)</w:t>
      </w:r>
      <w:r w:rsidRPr="00CB2002">
        <w:rPr>
          <w:rFonts w:ascii="Trebuchet MS" w:eastAsia="Trebuchet MS" w:hAnsi="Trebuchet MS" w:cs="Trebuchet MS"/>
          <w:sz w:val="22"/>
          <w:szCs w:val="22"/>
          <w:lang w:val="en-US" w:eastAsia="en-US"/>
        </w:rPr>
        <w:t xml:space="preserve"> </w:t>
      </w:r>
      <w:r w:rsidRPr="00CB2002">
        <w:rPr>
          <w:rFonts w:ascii="Trebuchet MS" w:eastAsia="Trebuchet MS" w:hAnsi="Trebuchet MS" w:cs="Trebuchet MS"/>
          <w:szCs w:val="24"/>
          <w:lang w:val="en-US" w:eastAsia="en-US"/>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1. за новия подизпълнител не са налице основанията за отстраняване в процедурата;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(9)</w:t>
      </w:r>
      <w:r w:rsidRPr="00CB2002">
        <w:rPr>
          <w:rFonts w:ascii="Trebuchet MS" w:eastAsia="Trebuchet MS" w:hAnsi="Trebuchet MS" w:cs="Trebuchet MS"/>
          <w:sz w:val="22"/>
          <w:szCs w:val="22"/>
          <w:lang w:val="en-US" w:eastAsia="en-US"/>
        </w:rPr>
        <w:t xml:space="preserve"> </w:t>
      </w:r>
      <w:r w:rsidRPr="00CB2002">
        <w:rPr>
          <w:rFonts w:ascii="Trebuchet MS" w:eastAsia="Trebuchet MS" w:hAnsi="Trebuchet MS" w:cs="Trebuchet MS"/>
          <w:szCs w:val="24"/>
          <w:lang w:val="en-US" w:eastAsia="en-US"/>
        </w:rPr>
        <w:t>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подизпълнение или на допълнителното споразумение в тридневен срок от тяхното сключване.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9. ИЗПЪЛНИТЕЛЯТ има право:</w:t>
      </w:r>
    </w:p>
    <w:p w:rsidR="00CB2002" w:rsidRPr="00CB2002" w:rsidRDefault="00CB2002" w:rsidP="00CB2002">
      <w:pPr>
        <w:numPr>
          <w:ilvl w:val="0"/>
          <w:numId w:val="1"/>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 xml:space="preserve"> да иска от ВЪЗЛОЖИТЕЛЯ необходимото съдействие за изпълнение на поръчката;</w:t>
      </w:r>
    </w:p>
    <w:p w:rsidR="00CB2002" w:rsidRPr="00CB2002" w:rsidRDefault="00CB2002" w:rsidP="00CB2002">
      <w:pPr>
        <w:numPr>
          <w:ilvl w:val="0"/>
          <w:numId w:val="1"/>
        </w:numPr>
        <w:spacing w:after="160" w:line="259" w:lineRule="auto"/>
        <w:contextualSpacing/>
        <w:jc w:val="both"/>
        <w:rPr>
          <w:rFonts w:ascii="Calibri" w:eastAsia="Calibri" w:hAnsi="Calibri"/>
          <w:sz w:val="22"/>
          <w:szCs w:val="22"/>
          <w:lang w:val="bg-BG" w:eastAsia="en-US"/>
        </w:rPr>
      </w:pPr>
      <w:r w:rsidRPr="00CB2002">
        <w:rPr>
          <w:rFonts w:ascii="Trebuchet MS" w:eastAsia="Trebuchet MS" w:hAnsi="Trebuchet MS" w:cs="Trebuchet MS"/>
          <w:szCs w:val="24"/>
          <w:lang w:val="en-US" w:eastAsia="en-US"/>
        </w:rPr>
        <w:t xml:space="preserve"> да получи договореното възнаграждение по реда и при условията на настоящия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VІI. ПРАВА И ЗАДЪЛЖЕНИЯ НА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10. (1)   ВЪЗЛОЖИТЕЛЯТ се задължава: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1.Да заплати цената на договора по реда и при условията в него;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2.Да предостави изходните данни за проектиране;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3. 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 3 от 31.07.2003 г. за съставяне на актове и протоколи по време на строителството;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6.Да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7.Да приеме извършената от ИЗПЪЛНИТЕЛЯ работа, при условие че е изпълнена точно.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8.В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ВЪЗЛОЖИТЕЛЯТ има право: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Да иска от ИЗПЪЛНИТЕЛЯ да изпълни възложените работи в срок, без отклонение от договореното и без недостатъци;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5.При констатиране на недостатъци, които не е открил по време на изпълнение на възложените дейности и е констатирал в течение на гаранционните срокове, да поиска от него да ги поправи, без да дължи на същия заплащане за това.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6.Да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 xml:space="preserve">7. 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VІІI. ГАРАНЦИЯ ЗА ИЗПЪЛНЕНИЕ НА ДОГОВОРА, ГАРАНЦИЯ ЗА АВАНСОВО ПРЕДОСТАВЕНИ СРЕДСТВА И ГАРАНЦИЯ ЗА ГАРАНЦИОННА ПОДДРЪЖКА</w:t>
      </w:r>
    </w:p>
    <w:p w:rsidR="00CB2002" w:rsidRPr="00CB2002" w:rsidRDefault="00CB2002" w:rsidP="00CB2002">
      <w:pPr>
        <w:spacing w:after="160" w:line="259" w:lineRule="auto"/>
        <w:ind w:firstLine="284"/>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11. 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/цифром и словом/ лева. Гаранцията се представя под формата на ……………, съгласно документацията за участие. Част от гаранцията, съответстваща на 1 % ( един процент) от стойността на договора без ДДС се освобождава в срок до 30 (тридесет) календарни дни след одобряване на  изработения от Изпълнителя технически проект.</w:t>
      </w:r>
    </w:p>
    <w:p w:rsidR="00CB2002" w:rsidRPr="00CB2002" w:rsidRDefault="00CB2002" w:rsidP="00CB2002">
      <w:pPr>
        <w:spacing w:after="160"/>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w:t>
      </w:r>
      <w:r w:rsidRPr="00CB2002">
        <w:rPr>
          <w:rFonts w:ascii="Trebuchet MS" w:eastAsia="Trebuchet MS" w:hAnsi="Trebuchet MS" w:cs="Trebuchet MS"/>
          <w:szCs w:val="24"/>
          <w:lang w:val="bg-BG" w:eastAsia="en-US"/>
        </w:rPr>
        <w:t>Когато гаранцията за изпълнение се представя във вид на парична сума, то тя се внася  по банкова сметка на Община Русе в Банка ТБ "Инвестбанк"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2.Когато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3.Когато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 xml:space="preserve">4. Гаранцията за изпълнение (депозит или банкова гаранция или застраховка) следва да е със срок на действие за целия предложен от участника общ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удължи валидността й или съответно да представи нова преди изтичане на нейния срок. Гаранцията за 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5.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освобождово до 3 дни след връщане или усвояване на аванса.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ІХ. ГАРАНЦИОННИ УСЛОВИЯ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На основание чл. 160, ал. 5 от ЗУТ, гаранционните срокове текат от деня на въвеждане на строителния обект/строежа в експлоатация.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За проявилите се в гаранционните срокове дефекти и недостатъци ВЪЗЛОЖИТЕЛЯТ уведомява писмено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Чл. 14. (1)  ИЗПЪЛНИТЕЛЯТ  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(2) ИЗПЪЛНИТЕЛЯТ или съответно отделните участници в обединението, ако същото е прекратило дейността си, респективно техните правоприемници, е длъжен да отстрани появилите се дефекти и недостатъци за своя сметка в срока съгласно ал. 1.</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След изтичане на определения в протокола по ал. 1 срок, ВЪЗЛОЖИТЕЛЯТ може и сам да отстрани дефектите и недостатъците за сметка на ИЗПЪЛНИТЕЛЯТ или съответно отделните участници в обединението или техните правоприемници, ако същото е прекратило дейността си с последиците по раздел XIII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(4) Гаранционните срокове не текат и се удължават с времето, през което строежът е имал проявен дефект, до неговото отстранявяне.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 или до техните правоприемници.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Х.  ЗАСТРАХОВАНЕ И ОБЕЗЩЕТЕНИЯ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ИЗПЪЛНИТЕЛЯТ е отговорен за всички застраховки и обезщетения по отношение на своя персонал и собственост.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w:t>
      </w:r>
      <w:r w:rsidRPr="00CB2002">
        <w:rPr>
          <w:rFonts w:ascii="Trebuchet MS" w:eastAsia="Trebuchet MS" w:hAnsi="Trebuchet MS" w:cs="Trebuchet MS"/>
          <w:szCs w:val="24"/>
          <w:lang w:val="en-US" w:eastAsia="en-US"/>
        </w:rPr>
        <w:lastRenderedPageBreak/>
        <w:t>обстоятелства относно изпълнението на задълженията си по застрахователните договори.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(6) ИЗПЪЛНИТЕЛЯТ е отговорен за застраховането на проектантите, на неговите подизпълнители и др. в съответствие с този раздел и изискванията на ЗУТ.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ХІ. ПРЕКРАТЯВАНЕ НА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16. (1) Настоящият договор се прекратява: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1.С изпълнение на всички задължения по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2.По взаимно съгласие на страните, изразено в писмена форма.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3.По реда на чл. 118 от Закона за обществените поръчки или при прогласяване на неговата унищожаемост съгласно чл. 119 ЗОП.</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4.Едностранно от ВЪЗЛОЖИТЕЛЯ след изпращане на едноседмично писмено предизвестие, в случай, че: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а) се констатират съществени отклонения от офертата, допуснати от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б) в хипотезата на чл. 6, ал. 2 от настоящия договор;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в) при неизпълнение от страна на ИЗПЪЛНИТЕЛЯ на други негови задължения по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5.Договорът не се прекратява, ако в срока на предизвестието нарушението бъде отстранено за сметка на ИЗПЪЛНИТЕЛЯ.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(4) При прекратяване на договора, независимо от причината за това, ИЗПЪЛНИТЕЛЯТ е длъжен:</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Да предаде цялата строителна и друга документация, съоръжения и материали, за които ВЪЗЛОЖИТЕЛЯТ е заплатил;</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Да предаде всички строително-монтажни работи, изпълнени от него до датата на прекратяването;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Чл. 17. (1) Страните по договорa за обществена поръчка не могат да го изменят.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Изменение на сключен договор за обществена поръчка се допуска по изключение, в случаите на чл. 116 ЗОП.</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ХІІ. НЕПРЕДВИДЕНИ ОБСТОЯТЕЛСТВА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Докато трае непреодолимата сила, изпълнението на задълженията на свързаните с тях насрещни задължения се спира.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ХІІІ. НЕИЗПЪЛНЕНИЕ. ОТГОВОРНОСТ.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Чл. 20. (1) За всяка забава в изпълнение на задълженията в договорените срокове по чл. 4 ИЗПЪЛНИТЕЛЯТ дължи неустойка в размер на 0,2 /нула цяло и два/ % от общата стойност на договора с ДДС за всеки просрочен ден. За начало на забавата по отношение на срока, посочен в чл. 4, ал. 2 от договора се счита първият ден след изтичането на 30 дни от деня, следващ датата на </w:t>
      </w:r>
      <w:r w:rsidRPr="00CB2002">
        <w:rPr>
          <w:rFonts w:ascii="Trebuchet MS" w:eastAsia="Trebuchet MS" w:hAnsi="Trebuchet MS" w:cs="Trebuchet MS"/>
          <w:szCs w:val="24"/>
          <w:lang w:val="en-US" w:eastAsia="en-US"/>
        </w:rPr>
        <w:lastRenderedPageBreak/>
        <w:t xml:space="preserve">получаване от ИЗПЪЛНИТЕЛЯ на одобрения проект, а за край на забавата се счита денят, предхождащ датата на откриване на строителна площадка. </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(2) В случай, че ИЗПЪЛНИТЕЛЯТ не спази срока по чл.4, ал.2 и не се яви за откриване на строителната площадка в деня определен в отправената писмена покана по реда на чл.10, ал.2, т.7 от този договор, същият дължи неустойка на ВЪЗЛОЖИТЕЛЯТ в размер на 1% от цената по договора, заедно със забавата по чл.20, ал.1 от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(3)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с ДДС. </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t xml:space="preserve">(4) В случай, че след предупреждение от страна на ВЪЗЛОЖИТЕЛЯ, ИЗПЪЛНИТЕЛЯТ не изпълни свое задължение съгласно чл.7, ал.3, т.12, т.13, т.14, т.15, т.25, т.26, т. 38 и т.40 от този договор, ИЗПЪЛНИТЕЛЯТ дължи на ВЪЗЛОЖИТЕЛЯ неустойка в размер на 500 лева за всяко конкретно 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(5)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с ДДС.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(6) При прекратяването на договора поради причина, за която ИЗПЪЛНИТЕЛЯТ носи отговорност,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и приети от ВЪЗЛОЖИТЕЛЯ работи.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(7) 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CB2002" w:rsidRPr="00CB2002" w:rsidRDefault="00CB2002" w:rsidP="00CB2002">
      <w:pPr>
        <w:spacing w:after="160" w:line="259" w:lineRule="auto"/>
        <w:jc w:val="both"/>
        <w:rPr>
          <w:rFonts w:ascii="Trebuchet MS" w:eastAsia="Trebuchet MS" w:hAnsi="Trebuchet MS" w:cs="Trebuchet MS"/>
          <w:szCs w:val="24"/>
          <w:lang w:val="en-US" w:eastAsia="en-US"/>
        </w:rPr>
      </w:pPr>
      <w:r w:rsidRPr="00CB2002">
        <w:rPr>
          <w:rFonts w:ascii="Trebuchet MS" w:eastAsia="Trebuchet MS" w:hAnsi="Trebuchet MS" w:cs="Trebuchet MS"/>
          <w:szCs w:val="24"/>
          <w:lang w:val="en-US" w:eastAsia="en-US"/>
        </w:rPr>
        <w:lastRenderedPageBreak/>
        <w:t xml:space="preserve">(8)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1. в пълен размер, когато няма извършени и/или приети работи по договора, съгласно условията на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Възстановяването на авансовите суми, когато е приложимо, се дължи от ИЗПЪЛНИТЕЛЯ в 3-дневен срок от датата на прекратяване на договора по банковата сметка на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ХІV. КОНФИДЕНЦИАЛНОСТ</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23. (1) ИЗПЪЛНИТЕЛЯТ и ВЪЗЛОЖИТЕЛЯТ приемат за конфиденциална всяка информация, получена при и/или по повод изпълнението на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ХV. ЗАКЛЮЧИТЕЛНИ РАЗПОРЕДБИ</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Чл. 24. (1) Употребената в договора дума “Работа/и” ще има следното значение: проектиране, строително-монтажни работи и авторски надзор.</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lastRenderedPageBreak/>
        <w:t xml:space="preserve"> (2)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При промяна на посочените данни, всяка от страните е длъжна да уведоми другата в седемдневен срок от настъпване на промяната. Данните за контакт на страните са както следва: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За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Адрес на кореспонденция: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Тел.: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Факс: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E-mail: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За Изпълнителя: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Адрес на кореспонденция: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Тел.: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Факс: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E-mail: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разглеждат пред съответния компетентен съд в Република България.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(5) За неуредените в настоящия договор въпроси се прилагат разпоредбите на действащото българско законодателство.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Настоящият договор се изготви и подписа в три еднообразни екземпляра - един за ИЗПЪЛНИТЕЛЯ и два за ВЪЗЛОЖИТЕЛЯ.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Неразделна част от настоящия договор са: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Приложение 1 - Технически спецификации и приложенията към нея;</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Приложение 2 - Техническо предложение;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Приложение 3 -  Ценова оферта;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ВЪЗЛОЖИТЕЛ:                                                     ИЗПЪЛНИТЕЛ:</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 xml:space="preserve"> ПЛАМЕН СТОИЛОВ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i/>
          <w:iCs/>
          <w:szCs w:val="24"/>
          <w:lang w:val="en-US" w:eastAsia="en-US"/>
        </w:rPr>
        <w:t>Кмет на Община Русе</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szCs w:val="24"/>
          <w:lang w:val="en-US" w:eastAsia="en-US"/>
        </w:rPr>
        <w:t xml:space="preserve"> </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b/>
          <w:bCs/>
          <w:szCs w:val="24"/>
          <w:lang w:val="en-US" w:eastAsia="en-US"/>
        </w:rPr>
        <w:t>САБИНА МИНКОВСКА</w:t>
      </w:r>
    </w:p>
    <w:p w:rsidR="00CB2002" w:rsidRPr="00CB2002" w:rsidRDefault="00CB2002" w:rsidP="00CB2002">
      <w:pPr>
        <w:spacing w:after="160" w:line="259" w:lineRule="auto"/>
        <w:jc w:val="both"/>
        <w:rPr>
          <w:rFonts w:ascii="Trebuchet MS" w:eastAsia="Trebuchet MS" w:hAnsi="Trebuchet MS" w:cs="Trebuchet MS"/>
          <w:szCs w:val="24"/>
          <w:lang w:val="bg-BG" w:eastAsia="en-US"/>
        </w:rPr>
      </w:pPr>
      <w:r w:rsidRPr="00CB2002">
        <w:rPr>
          <w:rFonts w:ascii="Trebuchet MS" w:eastAsia="Trebuchet MS" w:hAnsi="Trebuchet MS" w:cs="Trebuchet MS"/>
          <w:i/>
          <w:iCs/>
          <w:szCs w:val="24"/>
          <w:lang w:val="en-US" w:eastAsia="en-US"/>
        </w:rPr>
        <w:t>Началник отдел ФС</w:t>
      </w:r>
    </w:p>
    <w:p w:rsidR="00CB2002" w:rsidRPr="00CB2002" w:rsidRDefault="00CB2002" w:rsidP="00CB2002">
      <w:pPr>
        <w:spacing w:after="160" w:line="259" w:lineRule="auto"/>
        <w:rPr>
          <w:rFonts w:ascii="Trebuchet MS" w:eastAsia="Trebuchet MS" w:hAnsi="Trebuchet MS" w:cs="Trebuchet MS"/>
          <w:sz w:val="22"/>
          <w:szCs w:val="22"/>
          <w:lang w:val="bg-BG" w:eastAsia="en-US"/>
        </w:rPr>
      </w:pPr>
    </w:p>
    <w:p w:rsidR="00CB2002" w:rsidRPr="00CB2002" w:rsidRDefault="00CB2002" w:rsidP="00CB2002">
      <w:pPr>
        <w:spacing w:after="160"/>
        <w:jc w:val="both"/>
        <w:rPr>
          <w:rFonts w:ascii="Trebuchet MS" w:eastAsia="Trebuchet MS" w:hAnsi="Trebuchet MS" w:cs="Trebuchet MS"/>
          <w:szCs w:val="24"/>
          <w:highlight w:val="yellow"/>
          <w:lang w:val="bg-BG" w:eastAsia="en-US"/>
        </w:rPr>
      </w:pPr>
    </w:p>
    <w:p w:rsidR="00CB2002" w:rsidRPr="00CB2002" w:rsidRDefault="00CB2002" w:rsidP="00CB2002">
      <w:pPr>
        <w:spacing w:after="160" w:line="259" w:lineRule="auto"/>
        <w:rPr>
          <w:rFonts w:ascii="Trebuchet MS" w:eastAsia="Trebuchet MS" w:hAnsi="Trebuchet MS" w:cs="Trebuchet MS"/>
          <w:sz w:val="22"/>
          <w:szCs w:val="22"/>
          <w:lang w:val="en-US" w:eastAsia="en-US"/>
        </w:rPr>
      </w:pPr>
    </w:p>
    <w:p w:rsidR="00C94F9C" w:rsidRPr="00B7635C" w:rsidRDefault="00C94F9C">
      <w:pPr>
        <w:rPr>
          <w:lang w:val="ru-RU"/>
        </w:rPr>
      </w:pPr>
      <w:bookmarkStart w:id="0" w:name="_GoBack"/>
      <w:bookmarkEnd w:id="0"/>
    </w:p>
    <w:sectPr w:rsidR="00C94F9C" w:rsidRPr="00B7635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7B" w:rsidRDefault="002B0F7B" w:rsidP="00685F2A">
      <w:r>
        <w:separator/>
      </w:r>
    </w:p>
  </w:endnote>
  <w:endnote w:type="continuationSeparator" w:id="0">
    <w:p w:rsidR="002B0F7B" w:rsidRDefault="002B0F7B"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78766B" w:rsidTr="007C767C">
      <w:trPr>
        <w:jc w:val="center"/>
      </w:trPr>
      <w:tc>
        <w:tcPr>
          <w:tcW w:w="9072" w:type="dxa"/>
          <w:shd w:val="clear" w:color="auto" w:fill="auto"/>
          <w:vAlign w:val="center"/>
        </w:tcPr>
        <w:p w:rsidR="0078766B" w:rsidRPr="00C37C4E" w:rsidRDefault="0078766B" w:rsidP="0078766B">
          <w:pPr>
            <w:pStyle w:val="a5"/>
            <w:jc w:val="center"/>
            <w:rPr>
              <w:rFonts w:ascii="Trebuchet MS" w:hAnsi="Trebuchet MS"/>
              <w:b/>
              <w:sz w:val="6"/>
            </w:rPr>
          </w:pPr>
        </w:p>
      </w:tc>
    </w:tr>
    <w:tr w:rsidR="0078766B" w:rsidTr="007C767C">
      <w:trPr>
        <w:jc w:val="center"/>
      </w:trPr>
      <w:tc>
        <w:tcPr>
          <w:tcW w:w="9072" w:type="dxa"/>
          <w:shd w:val="clear" w:color="auto" w:fill="auto"/>
          <w:vAlign w:val="center"/>
        </w:tcPr>
        <w:p w:rsidR="0078766B" w:rsidRPr="00C37C4E" w:rsidRDefault="0078766B" w:rsidP="0078766B">
          <w:pPr>
            <w:pStyle w:val="a5"/>
            <w:jc w:val="center"/>
            <w:rPr>
              <w:rFonts w:ascii="Trebuchet MS" w:hAnsi="Trebuchet MS"/>
              <w:b/>
              <w:color w:val="4D4D4D"/>
            </w:rPr>
          </w:pPr>
          <w:r w:rsidRPr="00685F2A">
            <w:rPr>
              <w:rFonts w:ascii="Trebuchet MS" w:hAnsi="Trebuchet MS"/>
              <w:b/>
            </w:rPr>
            <w:t>www.</w:t>
          </w:r>
          <w:r w:rsidRPr="00685F2A">
            <w:rPr>
              <w:rFonts w:ascii="Trebuchet MS" w:hAnsi="Trebuchet MS"/>
              <w:b/>
              <w:lang w:val="en-US"/>
            </w:rPr>
            <w:t>interregrobg</w:t>
          </w:r>
          <w:r w:rsidRPr="00685F2A">
            <w:rPr>
              <w:rFonts w:ascii="Trebuchet MS" w:hAnsi="Trebuchet MS"/>
              <w:b/>
            </w:rPr>
            <w:t>.eu</w:t>
          </w:r>
        </w:p>
      </w:tc>
    </w:tr>
    <w:tr w:rsidR="0078766B" w:rsidTr="007C767C">
      <w:trPr>
        <w:jc w:val="center"/>
      </w:trPr>
      <w:tc>
        <w:tcPr>
          <w:tcW w:w="9072" w:type="dxa"/>
          <w:shd w:val="clear" w:color="auto" w:fill="auto"/>
          <w:vAlign w:val="center"/>
        </w:tcPr>
        <w:p w:rsidR="0078766B" w:rsidRPr="00C37C4E" w:rsidRDefault="0078766B" w:rsidP="0078766B">
          <w:pPr>
            <w:pStyle w:val="a5"/>
            <w:jc w:val="center"/>
            <w:rPr>
              <w:rFonts w:ascii="Trebuchet MS" w:hAnsi="Trebuchet MS"/>
              <w:b/>
              <w:color w:val="4D4D4D"/>
              <w:sz w:val="6"/>
            </w:rPr>
          </w:pPr>
        </w:p>
      </w:tc>
    </w:tr>
    <w:tr w:rsidR="0078766B" w:rsidRPr="00B7635C" w:rsidTr="007C767C">
      <w:trPr>
        <w:jc w:val="center"/>
      </w:trPr>
      <w:tc>
        <w:tcPr>
          <w:tcW w:w="9072" w:type="dxa"/>
          <w:shd w:val="clear" w:color="auto" w:fill="auto"/>
          <w:vAlign w:val="center"/>
        </w:tcPr>
        <w:p w:rsidR="0078766B" w:rsidRPr="00B7635C" w:rsidRDefault="0078766B" w:rsidP="0078766B">
          <w:pPr>
            <w:tabs>
              <w:tab w:val="center" w:pos="4536"/>
              <w:tab w:val="right" w:pos="9072"/>
            </w:tabs>
            <w:jc w:val="center"/>
            <w:rPr>
              <w:rFonts w:ascii="Trebuchet MS" w:hAnsi="Trebuchet MS"/>
              <w:color w:val="4D4D4D"/>
              <w:sz w:val="16"/>
              <w:lang w:val="ru-RU"/>
            </w:rPr>
          </w:pPr>
          <w:r w:rsidRPr="00B7635C">
            <w:rPr>
              <w:rFonts w:ascii="Trebuchet MS" w:hAnsi="Trebuchet MS"/>
              <w:color w:val="4D4D4D"/>
              <w:sz w:val="16"/>
              <w:lang w:val="ru-RU"/>
            </w:rPr>
            <w:t>Съдържанието на този материал не представлява непременно официалната позиция на Европейския Съюз.</w:t>
          </w:r>
        </w:p>
      </w:tc>
    </w:tr>
  </w:tbl>
  <w:p w:rsidR="0078766B" w:rsidRDefault="00787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7B" w:rsidRDefault="002B0F7B" w:rsidP="00685F2A">
      <w:r>
        <w:separator/>
      </w:r>
    </w:p>
  </w:footnote>
  <w:footnote w:type="continuationSeparator" w:id="0">
    <w:p w:rsidR="002B0F7B" w:rsidRDefault="002B0F7B"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rsidTr="00AE1853">
      <w:trPr>
        <w:trHeight w:val="1508"/>
        <w:jc w:val="center"/>
      </w:trPr>
      <w:tc>
        <w:tcPr>
          <w:tcW w:w="5046" w:type="dxa"/>
          <w:shd w:val="clear" w:color="auto" w:fill="auto"/>
          <w:vAlign w:val="center"/>
        </w:tcPr>
        <w:p w:rsidR="00AE1853" w:rsidRPr="003D352A" w:rsidRDefault="00AE1853" w:rsidP="00AB5E3B">
          <w:pPr>
            <w:tabs>
              <w:tab w:val="center" w:pos="4536"/>
              <w:tab w:val="left" w:pos="5322"/>
              <w:tab w:val="right" w:pos="9072"/>
            </w:tabs>
            <w:jc w:val="center"/>
          </w:pPr>
          <w:r>
            <w:rPr>
              <w:noProof/>
              <w:lang w:val="bg-BG"/>
            </w:rPr>
            <w:drawing>
              <wp:inline distT="0" distB="0" distL="0" distR="0" wp14:anchorId="5354C428" wp14:editId="75F61788">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rsidR="00AE1853" w:rsidRPr="003D352A" w:rsidRDefault="00AE1853" w:rsidP="00DF4ABA">
          <w:pPr>
            <w:tabs>
              <w:tab w:val="center" w:pos="4536"/>
              <w:tab w:val="left" w:pos="5322"/>
              <w:tab w:val="right" w:pos="9072"/>
            </w:tabs>
            <w:jc w:val="center"/>
            <w:rPr>
              <w:sz w:val="2"/>
            </w:rPr>
          </w:pPr>
          <w:r>
            <w:rPr>
              <w:noProof/>
              <w:lang w:val="bg-BG"/>
            </w:rPr>
            <w:drawing>
              <wp:inline distT="0" distB="0" distL="0" distR="0" wp14:anchorId="7CF1B6E9" wp14:editId="6003083F">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rsidR="00AE1853" w:rsidRPr="003D352A" w:rsidRDefault="00AE1853" w:rsidP="00AB5E3B">
          <w:pPr>
            <w:tabs>
              <w:tab w:val="center" w:pos="4536"/>
              <w:tab w:val="left" w:pos="5322"/>
              <w:tab w:val="right" w:pos="9072"/>
            </w:tabs>
            <w:jc w:val="center"/>
          </w:pPr>
          <w:r>
            <w:rPr>
              <w:noProof/>
              <w:lang w:val="bg-BG"/>
            </w:rPr>
            <w:drawing>
              <wp:inline distT="0" distB="0" distL="0" distR="0" wp14:anchorId="6F603F9C" wp14:editId="5A7544FF">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685F2A" w:rsidRDefault="00685F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BA" w:rsidRDefault="00DF4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529"/>
    <w:multiLevelType w:val="hybridMultilevel"/>
    <w:tmpl w:val="A184DB26"/>
    <w:lvl w:ilvl="0" w:tplc="D298C86A">
      <w:start w:val="1"/>
      <w:numFmt w:val="decimal"/>
      <w:lvlText w:val="%1."/>
      <w:lvlJc w:val="left"/>
      <w:pPr>
        <w:ind w:left="720" w:hanging="360"/>
      </w:pPr>
    </w:lvl>
    <w:lvl w:ilvl="1" w:tplc="2E2A4E82">
      <w:start w:val="1"/>
      <w:numFmt w:val="lowerLetter"/>
      <w:lvlText w:val="%2."/>
      <w:lvlJc w:val="left"/>
      <w:pPr>
        <w:ind w:left="1440" w:hanging="360"/>
      </w:pPr>
    </w:lvl>
    <w:lvl w:ilvl="2" w:tplc="34308382">
      <w:start w:val="1"/>
      <w:numFmt w:val="lowerRoman"/>
      <w:lvlText w:val="%3."/>
      <w:lvlJc w:val="right"/>
      <w:pPr>
        <w:ind w:left="2160" w:hanging="180"/>
      </w:pPr>
    </w:lvl>
    <w:lvl w:ilvl="3" w:tplc="73920CE8">
      <w:start w:val="1"/>
      <w:numFmt w:val="decimal"/>
      <w:lvlText w:val="%4."/>
      <w:lvlJc w:val="left"/>
      <w:pPr>
        <w:ind w:left="2880" w:hanging="360"/>
      </w:pPr>
    </w:lvl>
    <w:lvl w:ilvl="4" w:tplc="93E2D510">
      <w:start w:val="1"/>
      <w:numFmt w:val="lowerLetter"/>
      <w:lvlText w:val="%5."/>
      <w:lvlJc w:val="left"/>
      <w:pPr>
        <w:ind w:left="3600" w:hanging="360"/>
      </w:pPr>
    </w:lvl>
    <w:lvl w:ilvl="5" w:tplc="445ABBC4">
      <w:start w:val="1"/>
      <w:numFmt w:val="lowerRoman"/>
      <w:lvlText w:val="%6."/>
      <w:lvlJc w:val="right"/>
      <w:pPr>
        <w:ind w:left="4320" w:hanging="180"/>
      </w:pPr>
    </w:lvl>
    <w:lvl w:ilvl="6" w:tplc="E9F6371E">
      <w:start w:val="1"/>
      <w:numFmt w:val="decimal"/>
      <w:lvlText w:val="%7."/>
      <w:lvlJc w:val="left"/>
      <w:pPr>
        <w:ind w:left="5040" w:hanging="360"/>
      </w:pPr>
    </w:lvl>
    <w:lvl w:ilvl="7" w:tplc="FBC44E4A">
      <w:start w:val="1"/>
      <w:numFmt w:val="lowerLetter"/>
      <w:lvlText w:val="%8."/>
      <w:lvlJc w:val="left"/>
      <w:pPr>
        <w:ind w:left="5760" w:hanging="360"/>
      </w:pPr>
    </w:lvl>
    <w:lvl w:ilvl="8" w:tplc="BA7844A4">
      <w:start w:val="1"/>
      <w:numFmt w:val="lowerRoman"/>
      <w:lvlText w:val="%9."/>
      <w:lvlJc w:val="right"/>
      <w:pPr>
        <w:ind w:left="6480" w:hanging="180"/>
      </w:pPr>
    </w:lvl>
  </w:abstractNum>
  <w:abstractNum w:abstractNumId="1">
    <w:nsid w:val="140F3FAC"/>
    <w:multiLevelType w:val="hybridMultilevel"/>
    <w:tmpl w:val="F21A7688"/>
    <w:lvl w:ilvl="0" w:tplc="D87A5002">
      <w:start w:val="1"/>
      <w:numFmt w:val="bullet"/>
      <w:lvlText w:val=""/>
      <w:lvlJc w:val="left"/>
      <w:pPr>
        <w:ind w:left="720" w:hanging="360"/>
      </w:pPr>
      <w:rPr>
        <w:rFonts w:ascii="Symbol" w:hAnsi="Symbol" w:hint="default"/>
      </w:rPr>
    </w:lvl>
    <w:lvl w:ilvl="1" w:tplc="C7AC9902">
      <w:start w:val="1"/>
      <w:numFmt w:val="bullet"/>
      <w:lvlText w:val="o"/>
      <w:lvlJc w:val="left"/>
      <w:pPr>
        <w:ind w:left="1440" w:hanging="360"/>
      </w:pPr>
      <w:rPr>
        <w:rFonts w:ascii="Courier New" w:hAnsi="Courier New" w:hint="default"/>
      </w:rPr>
    </w:lvl>
    <w:lvl w:ilvl="2" w:tplc="499C3264">
      <w:start w:val="1"/>
      <w:numFmt w:val="bullet"/>
      <w:lvlText w:val=""/>
      <w:lvlJc w:val="left"/>
      <w:pPr>
        <w:ind w:left="2160" w:hanging="360"/>
      </w:pPr>
      <w:rPr>
        <w:rFonts w:ascii="Wingdings" w:hAnsi="Wingdings" w:hint="default"/>
      </w:rPr>
    </w:lvl>
    <w:lvl w:ilvl="3" w:tplc="745A3256">
      <w:start w:val="1"/>
      <w:numFmt w:val="bullet"/>
      <w:lvlText w:val=""/>
      <w:lvlJc w:val="left"/>
      <w:pPr>
        <w:ind w:left="2880" w:hanging="360"/>
      </w:pPr>
      <w:rPr>
        <w:rFonts w:ascii="Symbol" w:hAnsi="Symbol" w:hint="default"/>
      </w:rPr>
    </w:lvl>
    <w:lvl w:ilvl="4" w:tplc="6DFE1C14">
      <w:start w:val="1"/>
      <w:numFmt w:val="bullet"/>
      <w:lvlText w:val="o"/>
      <w:lvlJc w:val="left"/>
      <w:pPr>
        <w:ind w:left="3600" w:hanging="360"/>
      </w:pPr>
      <w:rPr>
        <w:rFonts w:ascii="Courier New" w:hAnsi="Courier New" w:hint="default"/>
      </w:rPr>
    </w:lvl>
    <w:lvl w:ilvl="5" w:tplc="9DE24E86">
      <w:start w:val="1"/>
      <w:numFmt w:val="bullet"/>
      <w:lvlText w:val=""/>
      <w:lvlJc w:val="left"/>
      <w:pPr>
        <w:ind w:left="4320" w:hanging="360"/>
      </w:pPr>
      <w:rPr>
        <w:rFonts w:ascii="Wingdings" w:hAnsi="Wingdings" w:hint="default"/>
      </w:rPr>
    </w:lvl>
    <w:lvl w:ilvl="6" w:tplc="C2D01644">
      <w:start w:val="1"/>
      <w:numFmt w:val="bullet"/>
      <w:lvlText w:val=""/>
      <w:lvlJc w:val="left"/>
      <w:pPr>
        <w:ind w:left="5040" w:hanging="360"/>
      </w:pPr>
      <w:rPr>
        <w:rFonts w:ascii="Symbol" w:hAnsi="Symbol" w:hint="default"/>
      </w:rPr>
    </w:lvl>
    <w:lvl w:ilvl="7" w:tplc="6D2A4912">
      <w:start w:val="1"/>
      <w:numFmt w:val="bullet"/>
      <w:lvlText w:val="o"/>
      <w:lvlJc w:val="left"/>
      <w:pPr>
        <w:ind w:left="5760" w:hanging="360"/>
      </w:pPr>
      <w:rPr>
        <w:rFonts w:ascii="Courier New" w:hAnsi="Courier New" w:hint="default"/>
      </w:rPr>
    </w:lvl>
    <w:lvl w:ilvl="8" w:tplc="A6F225D0">
      <w:start w:val="1"/>
      <w:numFmt w:val="bullet"/>
      <w:lvlText w:val=""/>
      <w:lvlJc w:val="left"/>
      <w:pPr>
        <w:ind w:left="6480" w:hanging="360"/>
      </w:pPr>
      <w:rPr>
        <w:rFonts w:ascii="Wingdings" w:hAnsi="Wingdings" w:hint="default"/>
      </w:rPr>
    </w:lvl>
  </w:abstractNum>
  <w:abstractNum w:abstractNumId="2">
    <w:nsid w:val="2D927899"/>
    <w:multiLevelType w:val="hybridMultilevel"/>
    <w:tmpl w:val="AB5A4902"/>
    <w:lvl w:ilvl="0" w:tplc="25D47D68">
      <w:start w:val="1"/>
      <w:numFmt w:val="decimal"/>
      <w:lvlText w:val="%1."/>
      <w:lvlJc w:val="left"/>
      <w:pPr>
        <w:ind w:left="720" w:hanging="360"/>
      </w:pPr>
    </w:lvl>
    <w:lvl w:ilvl="1" w:tplc="96D601D0">
      <w:start w:val="1"/>
      <w:numFmt w:val="lowerLetter"/>
      <w:lvlText w:val="%2."/>
      <w:lvlJc w:val="left"/>
      <w:pPr>
        <w:ind w:left="1440" w:hanging="360"/>
      </w:pPr>
    </w:lvl>
    <w:lvl w:ilvl="2" w:tplc="DA3EFF84">
      <w:start w:val="1"/>
      <w:numFmt w:val="lowerRoman"/>
      <w:lvlText w:val="%3."/>
      <w:lvlJc w:val="right"/>
      <w:pPr>
        <w:ind w:left="2160" w:hanging="180"/>
      </w:pPr>
    </w:lvl>
    <w:lvl w:ilvl="3" w:tplc="13B8C97A">
      <w:start w:val="1"/>
      <w:numFmt w:val="decimal"/>
      <w:lvlText w:val="%4."/>
      <w:lvlJc w:val="left"/>
      <w:pPr>
        <w:ind w:left="2880" w:hanging="360"/>
      </w:pPr>
    </w:lvl>
    <w:lvl w:ilvl="4" w:tplc="EB68755E">
      <w:start w:val="1"/>
      <w:numFmt w:val="lowerLetter"/>
      <w:lvlText w:val="%5."/>
      <w:lvlJc w:val="left"/>
      <w:pPr>
        <w:ind w:left="3600" w:hanging="360"/>
      </w:pPr>
    </w:lvl>
    <w:lvl w:ilvl="5" w:tplc="0BBED9B2">
      <w:start w:val="1"/>
      <w:numFmt w:val="lowerRoman"/>
      <w:lvlText w:val="%6."/>
      <w:lvlJc w:val="right"/>
      <w:pPr>
        <w:ind w:left="4320" w:hanging="180"/>
      </w:pPr>
    </w:lvl>
    <w:lvl w:ilvl="6" w:tplc="FC82A23E">
      <w:start w:val="1"/>
      <w:numFmt w:val="decimal"/>
      <w:lvlText w:val="%7."/>
      <w:lvlJc w:val="left"/>
      <w:pPr>
        <w:ind w:left="5040" w:hanging="360"/>
      </w:pPr>
    </w:lvl>
    <w:lvl w:ilvl="7" w:tplc="D250C90C">
      <w:start w:val="1"/>
      <w:numFmt w:val="lowerLetter"/>
      <w:lvlText w:val="%8."/>
      <w:lvlJc w:val="left"/>
      <w:pPr>
        <w:ind w:left="5760" w:hanging="360"/>
      </w:pPr>
    </w:lvl>
    <w:lvl w:ilvl="8" w:tplc="4D16945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94261"/>
    <w:rsid w:val="000F4E66"/>
    <w:rsid w:val="0011029E"/>
    <w:rsid w:val="001152C5"/>
    <w:rsid w:val="0016750C"/>
    <w:rsid w:val="00176784"/>
    <w:rsid w:val="0018453F"/>
    <w:rsid w:val="00266C60"/>
    <w:rsid w:val="00277B1B"/>
    <w:rsid w:val="002B0F7B"/>
    <w:rsid w:val="002C2F25"/>
    <w:rsid w:val="00317ABB"/>
    <w:rsid w:val="00372C6B"/>
    <w:rsid w:val="00385942"/>
    <w:rsid w:val="004568A1"/>
    <w:rsid w:val="0048524D"/>
    <w:rsid w:val="004E47BD"/>
    <w:rsid w:val="00535943"/>
    <w:rsid w:val="00583898"/>
    <w:rsid w:val="005938F8"/>
    <w:rsid w:val="005D43ED"/>
    <w:rsid w:val="006673C4"/>
    <w:rsid w:val="006679F6"/>
    <w:rsid w:val="00675154"/>
    <w:rsid w:val="00685F2A"/>
    <w:rsid w:val="0073619E"/>
    <w:rsid w:val="0078766B"/>
    <w:rsid w:val="007B15A2"/>
    <w:rsid w:val="00874194"/>
    <w:rsid w:val="008860A6"/>
    <w:rsid w:val="0089631D"/>
    <w:rsid w:val="008C6648"/>
    <w:rsid w:val="008C6B68"/>
    <w:rsid w:val="008E415A"/>
    <w:rsid w:val="00973E96"/>
    <w:rsid w:val="00995FEB"/>
    <w:rsid w:val="009C3B37"/>
    <w:rsid w:val="009D7548"/>
    <w:rsid w:val="00A063EF"/>
    <w:rsid w:val="00A636E9"/>
    <w:rsid w:val="00A817B7"/>
    <w:rsid w:val="00AB5E3B"/>
    <w:rsid w:val="00AE1853"/>
    <w:rsid w:val="00B25200"/>
    <w:rsid w:val="00B7635C"/>
    <w:rsid w:val="00C02E66"/>
    <w:rsid w:val="00C20DB2"/>
    <w:rsid w:val="00C3252C"/>
    <w:rsid w:val="00C85EBC"/>
    <w:rsid w:val="00C94F9C"/>
    <w:rsid w:val="00CB2002"/>
    <w:rsid w:val="00CD0DEE"/>
    <w:rsid w:val="00D11DAC"/>
    <w:rsid w:val="00D160F4"/>
    <w:rsid w:val="00D72A88"/>
    <w:rsid w:val="00D846B5"/>
    <w:rsid w:val="00DD2955"/>
    <w:rsid w:val="00DF4ABA"/>
    <w:rsid w:val="00DF4E7E"/>
    <w:rsid w:val="00DF51FC"/>
    <w:rsid w:val="00E86EB2"/>
    <w:rsid w:val="00F525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E1FB-9BE0-4AE5-9A29-AFD9B5E6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9244</Words>
  <Characters>52691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48</cp:revision>
  <dcterms:created xsi:type="dcterms:W3CDTF">2016-02-10T17:32:00Z</dcterms:created>
  <dcterms:modified xsi:type="dcterms:W3CDTF">2018-10-20T06:31:00Z</dcterms:modified>
</cp:coreProperties>
</file>